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55E48" w14:textId="515844AC" w:rsidR="001D3982" w:rsidRDefault="001D3982" w:rsidP="001D3982">
      <w:pPr>
        <w:spacing w:after="210" w:line="312" w:lineRule="atLeast"/>
        <w:jc w:val="center"/>
        <w:outlineLvl w:val="0"/>
      </w:pPr>
      <w:hyperlink r:id="rId4" w:history="1">
        <w:r>
          <w:rPr>
            <w:rStyle w:val="Hipervnculo"/>
          </w:rPr>
          <w:t>El Colegio de Geólogos publica un artículo negacionista y carga contra el "dogma climático" | Público (publico.es)</w:t>
        </w:r>
      </w:hyperlink>
    </w:p>
    <w:p w14:paraId="424F5872" w14:textId="77777777" w:rsidR="001D3982" w:rsidRDefault="001D3982" w:rsidP="001D3982">
      <w:pPr>
        <w:spacing w:after="210" w:line="312" w:lineRule="atLeast"/>
        <w:jc w:val="center"/>
        <w:outlineLvl w:val="0"/>
        <w:rPr>
          <w:rFonts w:ascii="Times New Roman" w:eastAsia="Times New Roman" w:hAnsi="Times New Roman" w:cs="Times New Roman"/>
          <w:b/>
          <w:bCs/>
          <w:color w:val="000000"/>
          <w:kern w:val="36"/>
          <w:sz w:val="48"/>
          <w:szCs w:val="48"/>
          <w:lang w:eastAsia="es-ES"/>
        </w:rPr>
      </w:pPr>
    </w:p>
    <w:p w14:paraId="1ED7F3E6" w14:textId="1B667A7A" w:rsidR="001D3982" w:rsidRPr="001D3982" w:rsidRDefault="001D3982" w:rsidP="001D3982">
      <w:pPr>
        <w:spacing w:after="210" w:line="312" w:lineRule="atLeast"/>
        <w:jc w:val="center"/>
        <w:outlineLvl w:val="0"/>
        <w:rPr>
          <w:rFonts w:ascii="Times New Roman" w:eastAsia="Times New Roman" w:hAnsi="Times New Roman" w:cs="Times New Roman"/>
          <w:b/>
          <w:bCs/>
          <w:color w:val="000000"/>
          <w:kern w:val="36"/>
          <w:sz w:val="48"/>
          <w:szCs w:val="48"/>
          <w:lang w:eastAsia="es-ES"/>
        </w:rPr>
      </w:pPr>
      <w:r w:rsidRPr="001D3982">
        <w:rPr>
          <w:rFonts w:ascii="Times New Roman" w:eastAsia="Times New Roman" w:hAnsi="Times New Roman" w:cs="Times New Roman"/>
          <w:b/>
          <w:bCs/>
          <w:color w:val="000000"/>
          <w:kern w:val="36"/>
          <w:sz w:val="48"/>
          <w:szCs w:val="48"/>
          <w:lang w:eastAsia="es-ES"/>
        </w:rPr>
        <w:t>El Colegio de Geólogos publica un artículo negacionista y carga contra el "dogma climático"</w:t>
      </w:r>
    </w:p>
    <w:p w14:paraId="5DB48283" w14:textId="77777777" w:rsidR="001D3982" w:rsidRPr="001D3982" w:rsidRDefault="001D3982" w:rsidP="001D3982">
      <w:pPr>
        <w:spacing w:before="100" w:beforeAutospacing="1" w:after="100" w:afterAutospacing="1" w:line="360" w:lineRule="atLeast"/>
        <w:jc w:val="center"/>
        <w:rPr>
          <w:rFonts w:ascii="Noto Serif SC" w:eastAsia="Times New Roman" w:hAnsi="Noto Serif SC" w:cs="Times New Roman"/>
          <w:color w:val="000000"/>
          <w:sz w:val="27"/>
          <w:szCs w:val="27"/>
          <w:lang w:eastAsia="es-ES"/>
        </w:rPr>
      </w:pPr>
      <w:r w:rsidRPr="001D3982">
        <w:rPr>
          <w:rFonts w:ascii="Noto Serif SC" w:eastAsia="Times New Roman" w:hAnsi="Noto Serif SC" w:cs="Times New Roman"/>
          <w:color w:val="000000"/>
          <w:sz w:val="27"/>
          <w:szCs w:val="27"/>
          <w:lang w:eastAsia="es-ES"/>
        </w:rPr>
        <w:t>La publicación rechaza que el ser humano esté detrás del calentamiento del planeta y cita autores polémicos como Steven Koonin, divulgador con vínculos con la petrolera BP.</w:t>
      </w:r>
    </w:p>
    <w:p w14:paraId="70FFD220" w14:textId="77777777" w:rsidR="001D3982" w:rsidRPr="001D3982" w:rsidRDefault="001D3982" w:rsidP="001D3982">
      <w:pPr>
        <w:spacing w:after="0" w:line="240" w:lineRule="auto"/>
        <w:jc w:val="center"/>
        <w:rPr>
          <w:rFonts w:ascii="Poppins" w:eastAsia="Times New Roman" w:hAnsi="Poppins" w:cs="Poppins"/>
          <w:color w:val="000000"/>
          <w:sz w:val="27"/>
          <w:szCs w:val="27"/>
          <w:lang w:eastAsia="es-ES"/>
        </w:rPr>
      </w:pPr>
      <w:r w:rsidRPr="001D3982">
        <w:rPr>
          <w:rFonts w:ascii="Poppins" w:eastAsia="Times New Roman" w:hAnsi="Poppins" w:cs="Poppins"/>
          <w:color w:val="000000"/>
          <w:sz w:val="27"/>
          <w:szCs w:val="27"/>
          <w:lang w:eastAsia="es-ES"/>
        </w:rPr>
        <w:t>  </w:t>
      </w:r>
    </w:p>
    <w:p w14:paraId="212CFD1A" w14:textId="77777777" w:rsidR="001D3982" w:rsidRPr="001D3982" w:rsidRDefault="001D3982" w:rsidP="001D3982">
      <w:pPr>
        <w:spacing w:after="150" w:line="240" w:lineRule="auto"/>
        <w:jc w:val="center"/>
        <w:rPr>
          <w:rFonts w:ascii="Poppins" w:eastAsia="Times New Roman" w:hAnsi="Poppins" w:cs="Poppins"/>
          <w:caps/>
          <w:color w:val="000000"/>
          <w:spacing w:val="96"/>
          <w:sz w:val="27"/>
          <w:szCs w:val="27"/>
          <w:lang w:eastAsia="es-ES"/>
        </w:rPr>
      </w:pPr>
      <w:r w:rsidRPr="001D3982">
        <w:rPr>
          <w:rFonts w:ascii="Poppins" w:eastAsia="Times New Roman" w:hAnsi="Poppins" w:cs="Poppins"/>
          <w:caps/>
          <w:color w:val="000000"/>
          <w:spacing w:val="96"/>
          <w:sz w:val="27"/>
          <w:szCs w:val="27"/>
          <w:lang w:eastAsia="es-ES"/>
        </w:rPr>
        <w:t>PUBLICIDAD</w:t>
      </w:r>
    </w:p>
    <w:p w14:paraId="7791473A" w14:textId="77777777" w:rsidR="001D3982" w:rsidRDefault="001D3982" w:rsidP="001D3982">
      <w:pPr>
        <w:spacing w:after="225" w:line="240" w:lineRule="atLeast"/>
        <w:rPr>
          <w:rFonts w:ascii="Poppins" w:eastAsia="Times New Roman" w:hAnsi="Poppins" w:cs="Poppins"/>
          <w:color w:val="000000"/>
          <w:sz w:val="27"/>
          <w:szCs w:val="27"/>
          <w:lang w:eastAsia="es-ES"/>
        </w:rPr>
      </w:pPr>
      <w:r w:rsidRPr="001D3982">
        <w:rPr>
          <w:rFonts w:ascii="Poppins" w:eastAsia="Times New Roman" w:hAnsi="Poppins" w:cs="Poppins"/>
          <w:noProof/>
          <w:color w:val="000000"/>
          <w:sz w:val="27"/>
          <w:szCs w:val="27"/>
          <w:lang w:eastAsia="es-ES"/>
        </w:rPr>
        <w:drawing>
          <wp:inline distT="0" distB="0" distL="0" distR="0" wp14:anchorId="1DED65A9" wp14:editId="7ACBCF0D">
            <wp:extent cx="4133850" cy="2325291"/>
            <wp:effectExtent l="0" t="0" r="0" b="0"/>
            <wp:docPr id="12" name="Imagen 12" descr="El vapor sale de las torres de enfriamiento de los nuevos bloques de energía de carbón de las centrales de Neurath, al noroeste de Colonia, Alemania. — Wolfgang Rattay / REU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l vapor sale de las torres de enfriamiento de los nuevos bloques de energía de carbón de las centrales de Neurath, al noroeste de Colonia, Alemania. — Wolfgang Rattay / REUTE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9284" cy="2328348"/>
                    </a:xfrm>
                    <a:prstGeom prst="rect">
                      <a:avLst/>
                    </a:prstGeom>
                    <a:noFill/>
                    <a:ln>
                      <a:noFill/>
                    </a:ln>
                  </pic:spPr>
                </pic:pic>
              </a:graphicData>
            </a:graphic>
          </wp:inline>
        </w:drawing>
      </w:r>
    </w:p>
    <w:p w14:paraId="55F6A270" w14:textId="77D3131D" w:rsidR="001D3982" w:rsidRPr="001D3982" w:rsidRDefault="001D3982" w:rsidP="001D3982">
      <w:pPr>
        <w:spacing w:after="225" w:line="240" w:lineRule="atLeast"/>
        <w:rPr>
          <w:rFonts w:ascii="Poppins" w:eastAsia="Times New Roman" w:hAnsi="Poppins" w:cs="Poppins"/>
          <w:color w:val="000000"/>
          <w:sz w:val="27"/>
          <w:szCs w:val="27"/>
          <w:lang w:eastAsia="es-ES"/>
        </w:rPr>
      </w:pPr>
      <w:r w:rsidRPr="001D3982">
        <w:rPr>
          <w:rFonts w:ascii="Poppins" w:eastAsia="Times New Roman" w:hAnsi="Poppins" w:cs="Poppins"/>
          <w:color w:val="000000"/>
          <w:sz w:val="27"/>
          <w:szCs w:val="27"/>
          <w:lang w:eastAsia="es-ES"/>
        </w:rPr>
        <w:t>El vapor sale de las torres de enfriamiento de los nuevos bloques de energía de carbón de las centrales de Neurath, al noroeste de Colonia, Alemania. — Wolfgang Rattay / REUTERS</w:t>
      </w:r>
    </w:p>
    <w:p w14:paraId="71C29447" w14:textId="77777777" w:rsidR="001D3982" w:rsidRPr="001D3982" w:rsidRDefault="001D3982" w:rsidP="001D3982">
      <w:pPr>
        <w:spacing w:after="120" w:line="360" w:lineRule="atLeast"/>
        <w:rPr>
          <w:rFonts w:ascii="Poppins" w:eastAsia="Times New Roman" w:hAnsi="Poppins" w:cs="Poppins"/>
          <w:caps/>
          <w:color w:val="111111"/>
          <w:sz w:val="32"/>
          <w:szCs w:val="32"/>
          <w:lang w:eastAsia="es-ES"/>
        </w:rPr>
      </w:pPr>
      <w:r w:rsidRPr="001D3982">
        <w:rPr>
          <w:rFonts w:ascii="Poppins" w:eastAsia="Times New Roman" w:hAnsi="Poppins" w:cs="Poppins"/>
          <w:caps/>
          <w:color w:val="111111"/>
          <w:sz w:val="32"/>
          <w:szCs w:val="32"/>
          <w:lang w:eastAsia="es-ES"/>
        </w:rPr>
        <w:t>MADRID, 05/12/2022 11:27 </w:t>
      </w:r>
      <w:r w:rsidRPr="001D3982">
        <w:rPr>
          <w:rFonts w:ascii="Poppins" w:eastAsia="Times New Roman" w:hAnsi="Poppins" w:cs="Poppins"/>
          <w:caps/>
          <w:color w:val="999999"/>
          <w:sz w:val="32"/>
          <w:szCs w:val="32"/>
          <w:lang w:eastAsia="es-ES"/>
        </w:rPr>
        <w:t>ACTUALIZADO: </w:t>
      </w:r>
      <w:r w:rsidRPr="001D3982">
        <w:rPr>
          <w:rFonts w:ascii="Poppins" w:eastAsia="Times New Roman" w:hAnsi="Poppins" w:cs="Poppins"/>
          <w:caps/>
          <w:color w:val="111111"/>
          <w:sz w:val="32"/>
          <w:szCs w:val="32"/>
          <w:lang w:eastAsia="es-ES"/>
        </w:rPr>
        <w:t>05/12/2022 17:24</w:t>
      </w:r>
    </w:p>
    <w:p w14:paraId="50BF4FB8" w14:textId="77777777" w:rsidR="001D3982" w:rsidRPr="001D3982" w:rsidRDefault="001D3982" w:rsidP="001D3982">
      <w:pPr>
        <w:spacing w:after="0" w:line="240" w:lineRule="auto"/>
        <w:rPr>
          <w:rFonts w:ascii="Times New Roman" w:eastAsia="Times New Roman" w:hAnsi="Times New Roman" w:cs="Times New Roman"/>
          <w:sz w:val="24"/>
          <w:szCs w:val="24"/>
          <w:lang w:eastAsia="es-ES"/>
        </w:rPr>
      </w:pPr>
      <w:r w:rsidRPr="001D3982">
        <w:rPr>
          <w:rFonts w:ascii="Poppins" w:eastAsia="Times New Roman" w:hAnsi="Poppins" w:cs="Poppins"/>
          <w:color w:val="000000"/>
          <w:sz w:val="27"/>
          <w:szCs w:val="27"/>
          <w:lang w:eastAsia="es-ES"/>
        </w:rPr>
        <w:t> </w:t>
      </w:r>
    </w:p>
    <w:p w14:paraId="56621D49" w14:textId="77777777" w:rsidR="001D3982" w:rsidRPr="001D3982" w:rsidRDefault="001D3982" w:rsidP="001D3982">
      <w:pPr>
        <w:spacing w:before="300" w:after="225" w:line="312" w:lineRule="atLeast"/>
        <w:rPr>
          <w:rFonts w:ascii="Poppins" w:eastAsia="Times New Roman" w:hAnsi="Poppins" w:cs="Poppins"/>
          <w:caps/>
          <w:color w:val="111111"/>
          <w:sz w:val="27"/>
          <w:szCs w:val="27"/>
          <w:lang w:eastAsia="es-ES"/>
        </w:rPr>
      </w:pPr>
      <w:r w:rsidRPr="001D3982">
        <w:rPr>
          <w:rFonts w:ascii="Poppins" w:eastAsia="Times New Roman" w:hAnsi="Poppins" w:cs="Poppins"/>
          <w:b/>
          <w:bCs/>
          <w:caps/>
          <w:color w:val="000000"/>
          <w:sz w:val="27"/>
          <w:szCs w:val="27"/>
          <w:lang w:eastAsia="es-ES"/>
        </w:rPr>
        <w:t>ALEJANDRO TENA</w:t>
      </w:r>
    </w:p>
    <w:p w14:paraId="0D0A5263" w14:textId="77777777" w:rsidR="001D3982" w:rsidRPr="001D3982" w:rsidRDefault="001D3982" w:rsidP="001D3982">
      <w:pPr>
        <w:spacing w:after="0" w:line="240" w:lineRule="auto"/>
        <w:rPr>
          <w:rFonts w:ascii="Times New Roman" w:eastAsia="Times New Roman" w:hAnsi="Times New Roman" w:cs="Times New Roman"/>
          <w:sz w:val="24"/>
          <w:szCs w:val="24"/>
          <w:lang w:eastAsia="es-ES"/>
        </w:rPr>
      </w:pPr>
      <w:r w:rsidRPr="001D3982">
        <w:rPr>
          <w:rFonts w:ascii="Poppins" w:eastAsia="Times New Roman" w:hAnsi="Poppins" w:cs="Poppins"/>
          <w:color w:val="000000"/>
          <w:sz w:val="27"/>
          <w:szCs w:val="27"/>
          <w:lang w:eastAsia="es-ES"/>
        </w:rPr>
        <w:t> </w:t>
      </w:r>
    </w:p>
    <w:p w14:paraId="600763C6" w14:textId="77777777" w:rsidR="001D3982" w:rsidRPr="001D3982" w:rsidRDefault="001D3982" w:rsidP="001D3982">
      <w:pPr>
        <w:spacing w:after="225" w:line="408" w:lineRule="atLeast"/>
        <w:rPr>
          <w:rFonts w:ascii="Noto Serif SC" w:eastAsia="Times New Roman" w:hAnsi="Noto Serif SC" w:cs="Poppins"/>
          <w:color w:val="111111"/>
          <w:sz w:val="27"/>
          <w:szCs w:val="27"/>
          <w:lang w:eastAsia="es-ES"/>
        </w:rPr>
      </w:pPr>
      <w:r w:rsidRPr="001D3982">
        <w:rPr>
          <w:rFonts w:ascii="Noto Serif SC" w:eastAsia="Times New Roman" w:hAnsi="Noto Serif SC" w:cs="Poppins"/>
          <w:color w:val="111111"/>
          <w:sz w:val="27"/>
          <w:szCs w:val="27"/>
          <w:lang w:eastAsia="es-ES"/>
        </w:rPr>
        <w:lastRenderedPageBreak/>
        <w:t>El </w:t>
      </w:r>
      <w:r w:rsidRPr="001D3982">
        <w:rPr>
          <w:rFonts w:ascii="Noto Serif SC" w:eastAsia="Times New Roman" w:hAnsi="Noto Serif SC" w:cs="Poppins"/>
          <w:b/>
          <w:bCs/>
          <w:color w:val="111111"/>
          <w:sz w:val="27"/>
          <w:szCs w:val="27"/>
          <w:lang w:eastAsia="es-ES"/>
        </w:rPr>
        <w:t>Ilustre Colegio Oficial de Geólogos</w:t>
      </w:r>
      <w:r w:rsidRPr="001D3982">
        <w:rPr>
          <w:rFonts w:ascii="Noto Serif SC" w:eastAsia="Times New Roman" w:hAnsi="Noto Serif SC" w:cs="Poppins"/>
          <w:color w:val="111111"/>
          <w:sz w:val="27"/>
          <w:szCs w:val="27"/>
          <w:lang w:eastAsia="es-ES"/>
        </w:rPr>
        <w:t> ha difundido a través de su revista de divulgación, </w:t>
      </w:r>
      <w:r w:rsidRPr="001D3982">
        <w:rPr>
          <w:rFonts w:ascii="Noto Serif SC" w:eastAsia="Times New Roman" w:hAnsi="Noto Serif SC" w:cs="Poppins"/>
          <w:i/>
          <w:iCs/>
          <w:color w:val="111111"/>
          <w:sz w:val="27"/>
          <w:szCs w:val="27"/>
          <w:lang w:eastAsia="es-ES"/>
        </w:rPr>
        <w:t>Tierra y Tecnología</w:t>
      </w:r>
      <w:r w:rsidRPr="001D3982">
        <w:rPr>
          <w:rFonts w:ascii="Noto Serif SC" w:eastAsia="Times New Roman" w:hAnsi="Noto Serif SC" w:cs="Poppins"/>
          <w:color w:val="111111"/>
          <w:sz w:val="27"/>
          <w:szCs w:val="27"/>
          <w:lang w:eastAsia="es-ES"/>
        </w:rPr>
        <w:t>, un artículo de corte académico que </w:t>
      </w:r>
      <w:hyperlink r:id="rId6" w:anchor="analytics-noticia:contenido-enlace" w:tgtFrame="_blank" w:tooltip="Público crisis climática" w:history="1">
        <w:r w:rsidRPr="001D3982">
          <w:rPr>
            <w:rFonts w:ascii="Noto Serif SC" w:eastAsia="Times New Roman" w:hAnsi="Noto Serif SC" w:cs="Poppins"/>
            <w:color w:val="009FDF"/>
            <w:sz w:val="27"/>
            <w:szCs w:val="27"/>
            <w:u w:val="single"/>
            <w:lang w:eastAsia="es-ES"/>
          </w:rPr>
          <w:t>niega la crisis climática</w:t>
        </w:r>
      </w:hyperlink>
      <w:r w:rsidRPr="001D3982">
        <w:rPr>
          <w:rFonts w:ascii="Noto Serif SC" w:eastAsia="Times New Roman" w:hAnsi="Noto Serif SC" w:cs="Poppins"/>
          <w:color w:val="111111"/>
          <w:sz w:val="27"/>
          <w:szCs w:val="27"/>
          <w:lang w:eastAsia="es-ES"/>
        </w:rPr>
        <w:t> y desvincula el calentamiento del planeta de las causas humanas, algo que va en contra del consenso científico y de las publicaciones del </w:t>
      </w:r>
      <w:r w:rsidRPr="001D3982">
        <w:rPr>
          <w:rFonts w:ascii="Noto Serif SC" w:eastAsia="Times New Roman" w:hAnsi="Noto Serif SC" w:cs="Poppins"/>
          <w:b/>
          <w:bCs/>
          <w:color w:val="111111"/>
          <w:sz w:val="27"/>
          <w:szCs w:val="27"/>
          <w:lang w:eastAsia="es-ES"/>
        </w:rPr>
        <w:t>Panel Intergubernamental de Cambio Climático (IPCC)</w:t>
      </w:r>
      <w:r w:rsidRPr="001D3982">
        <w:rPr>
          <w:rFonts w:ascii="Noto Serif SC" w:eastAsia="Times New Roman" w:hAnsi="Noto Serif SC" w:cs="Poppins"/>
          <w:color w:val="111111"/>
          <w:sz w:val="27"/>
          <w:szCs w:val="27"/>
          <w:lang w:eastAsia="es-ES"/>
        </w:rPr>
        <w:t> de la ONU.</w:t>
      </w:r>
    </w:p>
    <w:p w14:paraId="168B8B88" w14:textId="77777777" w:rsidR="001D3982" w:rsidRPr="001D3982" w:rsidRDefault="001D3982" w:rsidP="001D3982">
      <w:pPr>
        <w:spacing w:after="150" w:line="408" w:lineRule="atLeast"/>
        <w:jc w:val="center"/>
        <w:rPr>
          <w:rFonts w:ascii="Poppins" w:eastAsia="Times New Roman" w:hAnsi="Poppins" w:cs="Poppins"/>
          <w:caps/>
          <w:color w:val="000000"/>
          <w:spacing w:val="96"/>
          <w:sz w:val="27"/>
          <w:szCs w:val="27"/>
          <w:lang w:eastAsia="es-ES"/>
        </w:rPr>
      </w:pPr>
      <w:r w:rsidRPr="001D3982">
        <w:rPr>
          <w:rFonts w:ascii="Poppins" w:eastAsia="Times New Roman" w:hAnsi="Poppins" w:cs="Poppins"/>
          <w:caps/>
          <w:color w:val="000000"/>
          <w:spacing w:val="96"/>
          <w:sz w:val="27"/>
          <w:szCs w:val="27"/>
          <w:lang w:eastAsia="es-ES"/>
        </w:rPr>
        <w:t>PUBLICIDAD</w:t>
      </w:r>
    </w:p>
    <w:p w14:paraId="0274A9C4" w14:textId="77777777" w:rsidR="001D3982" w:rsidRPr="001D3982" w:rsidRDefault="001D3982" w:rsidP="001D3982">
      <w:pPr>
        <w:spacing w:after="225" w:line="408" w:lineRule="atLeast"/>
        <w:rPr>
          <w:rFonts w:ascii="Noto Serif SC" w:eastAsia="Times New Roman" w:hAnsi="Noto Serif SC" w:cs="Poppins"/>
          <w:color w:val="111111"/>
          <w:sz w:val="27"/>
          <w:szCs w:val="27"/>
          <w:lang w:eastAsia="es-ES"/>
        </w:rPr>
      </w:pPr>
      <w:r w:rsidRPr="001D3982">
        <w:rPr>
          <w:rFonts w:ascii="Noto Serif SC" w:eastAsia="Times New Roman" w:hAnsi="Noto Serif SC" w:cs="Poppins"/>
          <w:color w:val="111111"/>
          <w:sz w:val="27"/>
          <w:szCs w:val="27"/>
          <w:lang w:eastAsia="es-ES"/>
        </w:rPr>
        <w:t>La publicación, </w:t>
      </w:r>
      <w:hyperlink r:id="rId7" w:tgtFrame="_blank" w:tooltip="Artículo del Colegio de Geólogos" w:history="1">
        <w:r w:rsidRPr="001D3982">
          <w:rPr>
            <w:rFonts w:ascii="Noto Serif SC" w:eastAsia="Times New Roman" w:hAnsi="Noto Serif SC" w:cs="Poppins"/>
            <w:color w:val="009FDF"/>
            <w:sz w:val="27"/>
            <w:szCs w:val="27"/>
            <w:u w:val="single"/>
            <w:lang w:eastAsia="es-ES"/>
          </w:rPr>
          <w:t>titulada "Geología versus el dogma climático"</w:t>
        </w:r>
      </w:hyperlink>
      <w:r w:rsidRPr="001D3982">
        <w:rPr>
          <w:rFonts w:ascii="Noto Serif SC" w:eastAsia="Times New Roman" w:hAnsi="Noto Serif SC" w:cs="Poppins"/>
          <w:color w:val="111111"/>
          <w:sz w:val="27"/>
          <w:szCs w:val="27"/>
          <w:lang w:eastAsia="es-ES"/>
        </w:rPr>
        <w:t>, se comenzó a difundir en redes sociales el pasado 30 de noviembre y ha generado un gran rechazo de personalidades académicas y divulgadores del cambio climático. </w:t>
      </w:r>
    </w:p>
    <w:p w14:paraId="50A17102" w14:textId="77777777" w:rsidR="001D3982" w:rsidRPr="001D3982" w:rsidRDefault="001D3982" w:rsidP="001D3982">
      <w:pPr>
        <w:spacing w:after="225" w:line="408" w:lineRule="atLeast"/>
        <w:rPr>
          <w:rFonts w:ascii="Noto Serif SC" w:eastAsia="Times New Roman" w:hAnsi="Noto Serif SC" w:cs="Poppins"/>
          <w:color w:val="111111"/>
          <w:sz w:val="27"/>
          <w:szCs w:val="27"/>
          <w:lang w:eastAsia="es-ES"/>
        </w:rPr>
      </w:pPr>
      <w:r w:rsidRPr="001D3982">
        <w:rPr>
          <w:rFonts w:ascii="Noto Serif SC" w:eastAsia="Times New Roman" w:hAnsi="Noto Serif SC" w:cs="Poppins"/>
          <w:b/>
          <w:bCs/>
          <w:color w:val="111111"/>
          <w:sz w:val="27"/>
          <w:szCs w:val="27"/>
          <w:lang w:eastAsia="es-ES"/>
        </w:rPr>
        <w:t>Enrique Ortega Gironés</w:t>
      </w:r>
      <w:r w:rsidRPr="001D3982">
        <w:rPr>
          <w:rFonts w:ascii="Noto Serif SC" w:eastAsia="Times New Roman" w:hAnsi="Noto Serif SC" w:cs="Poppins"/>
          <w:color w:val="111111"/>
          <w:sz w:val="27"/>
          <w:szCs w:val="27"/>
          <w:lang w:eastAsia="es-ES"/>
        </w:rPr>
        <w:t>, el autor del texto, emplea un argumento recurrente en el negacionismo político al asegurar que el planeta ya experimentó otras fases similares en las que el clima se transformó. "A lo largo de la historia de la Tierra han existido espontáneamente muchos cambios similares e incluso mayores que el actual", dice en la introducción, para después asegurar que dichos fenómenos se produjeron por "procesos naturales que siguen activos en la actualidad y que, por lo tanto, modificarlos está fuera de nuestro alcance".</w:t>
      </w:r>
    </w:p>
    <w:p w14:paraId="56D2F8AF" w14:textId="77777777" w:rsidR="001D3982" w:rsidRDefault="001D3982" w:rsidP="001D3982">
      <w:pPr>
        <w:spacing w:line="240" w:lineRule="auto"/>
        <w:rPr>
          <w:rFonts w:ascii="Poppins" w:eastAsia="Times New Roman" w:hAnsi="Poppins" w:cs="Poppins"/>
          <w:color w:val="000000"/>
          <w:sz w:val="27"/>
          <w:szCs w:val="27"/>
          <w:lang w:eastAsia="es-ES"/>
        </w:rPr>
      </w:pPr>
      <w:r w:rsidRPr="001D3982">
        <w:rPr>
          <w:rFonts w:ascii="Poppins" w:eastAsia="Times New Roman" w:hAnsi="Poppins" w:cs="Poppins"/>
          <w:noProof/>
          <w:color w:val="009FDF"/>
          <w:sz w:val="27"/>
          <w:szCs w:val="27"/>
          <w:lang w:eastAsia="es-ES"/>
        </w:rPr>
        <w:drawing>
          <wp:inline distT="0" distB="0" distL="0" distR="0" wp14:anchorId="3B05B59D" wp14:editId="36705AE6">
            <wp:extent cx="4514850" cy="2539603"/>
            <wp:effectExtent l="0" t="0" r="0" b="0"/>
            <wp:docPr id="13" name="Imagen 13" descr="El planeta se queda sin registros de CO2 y el volcán Mauna Loa tiene la culp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l planeta se queda sin registros de CO2 y el volcán Mauna Loa tiene la culp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1329" cy="2543247"/>
                    </a:xfrm>
                    <a:prstGeom prst="rect">
                      <a:avLst/>
                    </a:prstGeom>
                    <a:noFill/>
                    <a:ln>
                      <a:noFill/>
                    </a:ln>
                  </pic:spPr>
                </pic:pic>
              </a:graphicData>
            </a:graphic>
          </wp:inline>
        </w:drawing>
      </w:r>
    </w:p>
    <w:p w14:paraId="5C794B65" w14:textId="0F5BFBAE" w:rsidR="001D3982" w:rsidRPr="001D3982" w:rsidRDefault="001D3982" w:rsidP="001D3982">
      <w:pPr>
        <w:spacing w:line="240" w:lineRule="auto"/>
        <w:rPr>
          <w:rFonts w:ascii="Poppins" w:eastAsia="Times New Roman" w:hAnsi="Poppins" w:cs="Poppins"/>
          <w:color w:val="000000"/>
          <w:sz w:val="27"/>
          <w:szCs w:val="27"/>
          <w:lang w:eastAsia="es-ES"/>
        </w:rPr>
      </w:pPr>
      <w:hyperlink r:id="rId10" w:history="1">
        <w:r w:rsidRPr="001D3982">
          <w:rPr>
            <w:rFonts w:ascii="Noto Serif SC" w:eastAsia="Times New Roman" w:hAnsi="Noto Serif SC" w:cs="Poppins"/>
            <w:b/>
            <w:bCs/>
            <w:color w:val="000000"/>
            <w:sz w:val="27"/>
            <w:szCs w:val="27"/>
            <w:u w:val="single"/>
            <w:lang w:eastAsia="es-ES"/>
          </w:rPr>
          <w:t>El planeta se queda sin registros de CO2 y el volcán Mauna Loa tiene la culpa</w:t>
        </w:r>
      </w:hyperlink>
    </w:p>
    <w:p w14:paraId="344E413A" w14:textId="77777777" w:rsidR="001D3982" w:rsidRPr="001D3982" w:rsidRDefault="001D3982" w:rsidP="001D3982">
      <w:pPr>
        <w:spacing w:after="225" w:line="408" w:lineRule="atLeast"/>
        <w:rPr>
          <w:rFonts w:ascii="Noto Serif SC" w:eastAsia="Times New Roman" w:hAnsi="Noto Serif SC" w:cs="Poppins"/>
          <w:color w:val="111111"/>
          <w:sz w:val="27"/>
          <w:szCs w:val="27"/>
          <w:lang w:eastAsia="es-ES"/>
        </w:rPr>
      </w:pPr>
      <w:r w:rsidRPr="001D3982">
        <w:rPr>
          <w:rFonts w:ascii="Noto Serif SC" w:eastAsia="Times New Roman" w:hAnsi="Noto Serif SC" w:cs="Poppins"/>
          <w:color w:val="111111"/>
          <w:sz w:val="27"/>
          <w:szCs w:val="27"/>
          <w:lang w:eastAsia="es-ES"/>
        </w:rPr>
        <w:t>Este razonamiento, el de negar los peligros de la crisis climática y asegurar que en el pasado planetario ya ha habido otros fenómenos similares como las glaciaciones, es recurrente en filas negacionistas. De hecho, es uno de las líneas ideológicas recogidas en el argumentario de Vox que publicó en exclusiva </w:t>
      </w:r>
      <w:hyperlink r:id="rId11" w:tgtFrame="_blank" w:tooltip="Publicación en 'La Marea'" w:history="1">
        <w:r w:rsidRPr="001D3982">
          <w:rPr>
            <w:rFonts w:ascii="Noto Serif SC" w:eastAsia="Times New Roman" w:hAnsi="Noto Serif SC" w:cs="Poppins"/>
            <w:i/>
            <w:iCs/>
            <w:color w:val="009FDF"/>
            <w:sz w:val="27"/>
            <w:szCs w:val="27"/>
            <w:u w:val="single"/>
            <w:lang w:eastAsia="es-ES"/>
          </w:rPr>
          <w:t>La Marea</w:t>
        </w:r>
      </w:hyperlink>
      <w:r w:rsidRPr="001D3982">
        <w:rPr>
          <w:rFonts w:ascii="Noto Serif SC" w:eastAsia="Times New Roman" w:hAnsi="Noto Serif SC" w:cs="Poppins"/>
          <w:color w:val="111111"/>
          <w:sz w:val="27"/>
          <w:szCs w:val="27"/>
          <w:lang w:eastAsia="es-ES"/>
        </w:rPr>
        <w:t> en 2019. Aunque es cierto que a lo largo de la historia el planeta ha experimentado cambios importantes en sus sistemas climáticos debido a fenómenos naturales, la coyuntura actual, </w:t>
      </w:r>
      <w:hyperlink r:id="rId12" w:tgtFrame="_blank" w:tooltip="Informe del IPCC" w:history="1">
        <w:r w:rsidRPr="001D3982">
          <w:rPr>
            <w:rFonts w:ascii="Noto Serif SC" w:eastAsia="Times New Roman" w:hAnsi="Noto Serif SC" w:cs="Poppins"/>
            <w:color w:val="009FDF"/>
            <w:sz w:val="27"/>
            <w:szCs w:val="27"/>
            <w:u w:val="single"/>
            <w:lang w:eastAsia="es-ES"/>
          </w:rPr>
          <w:t>tal y como detalla el IPCC en sus informes</w:t>
        </w:r>
      </w:hyperlink>
      <w:r w:rsidRPr="001D3982">
        <w:rPr>
          <w:rFonts w:ascii="Noto Serif SC" w:eastAsia="Times New Roman" w:hAnsi="Noto Serif SC" w:cs="Poppins"/>
          <w:color w:val="111111"/>
          <w:sz w:val="27"/>
          <w:szCs w:val="27"/>
          <w:lang w:eastAsia="es-ES"/>
        </w:rPr>
        <w:t>, muestra una subida de temperaturas acelerada sin precedentes y sin comparación, que además se explica por la acumulación en la atmósfera de gases de invernadero, la mayoría generados por el ser humano con </w:t>
      </w:r>
      <w:r w:rsidRPr="001D3982">
        <w:rPr>
          <w:rFonts w:ascii="Noto Serif SC" w:eastAsia="Times New Roman" w:hAnsi="Noto Serif SC" w:cs="Poppins"/>
          <w:b/>
          <w:bCs/>
          <w:color w:val="111111"/>
          <w:sz w:val="27"/>
          <w:szCs w:val="27"/>
          <w:lang w:eastAsia="es-ES"/>
        </w:rPr>
        <w:t>la quema de combustibles fósiles.</w:t>
      </w:r>
    </w:p>
    <w:p w14:paraId="39291840" w14:textId="77777777" w:rsidR="001D3982" w:rsidRPr="001D3982" w:rsidRDefault="001D3982" w:rsidP="001D3982">
      <w:pPr>
        <w:spacing w:after="150" w:line="408" w:lineRule="atLeast"/>
        <w:jc w:val="center"/>
        <w:rPr>
          <w:rFonts w:ascii="Poppins" w:eastAsia="Times New Roman" w:hAnsi="Poppins" w:cs="Poppins"/>
          <w:caps/>
          <w:color w:val="000000"/>
          <w:spacing w:val="96"/>
          <w:sz w:val="27"/>
          <w:szCs w:val="27"/>
          <w:lang w:eastAsia="es-ES"/>
        </w:rPr>
      </w:pPr>
      <w:r w:rsidRPr="001D3982">
        <w:rPr>
          <w:rFonts w:ascii="Poppins" w:eastAsia="Times New Roman" w:hAnsi="Poppins" w:cs="Poppins"/>
          <w:caps/>
          <w:color w:val="000000"/>
          <w:spacing w:val="96"/>
          <w:sz w:val="27"/>
          <w:szCs w:val="27"/>
          <w:lang w:eastAsia="es-ES"/>
        </w:rPr>
        <w:t>PUBLICIDAD</w:t>
      </w:r>
    </w:p>
    <w:p w14:paraId="78942258" w14:textId="77777777" w:rsidR="001D3982" w:rsidRPr="001D3982" w:rsidRDefault="001D3982" w:rsidP="001D3982">
      <w:pPr>
        <w:spacing w:after="225" w:line="408" w:lineRule="atLeast"/>
        <w:rPr>
          <w:rFonts w:ascii="Noto Serif SC" w:eastAsia="Times New Roman" w:hAnsi="Noto Serif SC" w:cs="Poppins"/>
          <w:color w:val="111111"/>
          <w:sz w:val="27"/>
          <w:szCs w:val="27"/>
          <w:lang w:eastAsia="es-ES"/>
        </w:rPr>
      </w:pPr>
      <w:r w:rsidRPr="001D3982">
        <w:rPr>
          <w:rFonts w:ascii="Noto Serif SC" w:eastAsia="Times New Roman" w:hAnsi="Noto Serif SC" w:cs="Poppins"/>
          <w:color w:val="111111"/>
          <w:sz w:val="27"/>
          <w:szCs w:val="27"/>
          <w:lang w:eastAsia="es-ES"/>
        </w:rPr>
        <w:t>"La interpretación sobre el origen antrópico del calentamiento global parece ser considerado por algunos estamentos políticos, sociales y científicos como un dogma inamovible que no se puede rebatir, y al que se quiere proteger a toda costa ante la opinión pública bajo el manto de una supuesta unanimidad científica que está muy lejos de ser cierta", prosigue.</w:t>
      </w:r>
    </w:p>
    <w:p w14:paraId="65F674AA" w14:textId="77777777" w:rsidR="001D3982" w:rsidRPr="001D3982" w:rsidRDefault="001D3982" w:rsidP="001D3982">
      <w:pPr>
        <w:spacing w:after="225" w:line="408" w:lineRule="atLeast"/>
        <w:rPr>
          <w:rFonts w:ascii="Noto Serif SC" w:eastAsia="Times New Roman" w:hAnsi="Noto Serif SC" w:cs="Poppins"/>
          <w:color w:val="111111"/>
          <w:sz w:val="27"/>
          <w:szCs w:val="27"/>
          <w:lang w:eastAsia="es-ES"/>
        </w:rPr>
      </w:pPr>
      <w:r w:rsidRPr="001D3982">
        <w:rPr>
          <w:rFonts w:ascii="Noto Serif SC" w:eastAsia="Times New Roman" w:hAnsi="Noto Serif SC" w:cs="Poppins"/>
          <w:b/>
          <w:bCs/>
          <w:color w:val="111111"/>
          <w:sz w:val="27"/>
          <w:szCs w:val="27"/>
          <w:lang w:eastAsia="es-ES"/>
        </w:rPr>
        <w:t>Ortega Gironés</w:t>
      </w:r>
      <w:r w:rsidRPr="001D3982">
        <w:rPr>
          <w:rFonts w:ascii="Noto Serif SC" w:eastAsia="Times New Roman" w:hAnsi="Noto Serif SC" w:cs="Poppins"/>
          <w:color w:val="111111"/>
          <w:sz w:val="27"/>
          <w:szCs w:val="27"/>
          <w:lang w:eastAsia="es-ES"/>
        </w:rPr>
        <w:t>, además, compara su postura y la de aquellos que niegan los vínculos de la actividad humana con la crisis climática, con las persecuciones que en su día sufrieron algunos pensadores ilustres como </w:t>
      </w:r>
      <w:r w:rsidRPr="001D3982">
        <w:rPr>
          <w:rFonts w:ascii="Noto Serif SC" w:eastAsia="Times New Roman" w:hAnsi="Noto Serif SC" w:cs="Poppins"/>
          <w:b/>
          <w:bCs/>
          <w:color w:val="111111"/>
          <w:sz w:val="27"/>
          <w:szCs w:val="27"/>
          <w:lang w:eastAsia="es-ES"/>
        </w:rPr>
        <w:t>Galileo, Miguel Servet o Giordano Bruno</w:t>
      </w:r>
      <w:r w:rsidRPr="001D3982">
        <w:rPr>
          <w:rFonts w:ascii="Noto Serif SC" w:eastAsia="Times New Roman" w:hAnsi="Noto Serif SC" w:cs="Poppins"/>
          <w:color w:val="111111"/>
          <w:sz w:val="27"/>
          <w:szCs w:val="27"/>
          <w:lang w:eastAsia="es-ES"/>
        </w:rPr>
        <w:t>. "Las informaciones que aparecen sistemáticamente en los medios de comunicación de gran difusión, los que generan opinión pública, son monolíticas, nunca informan del debate que realmente existe al respecto entre los científicos", opina.</w:t>
      </w:r>
    </w:p>
    <w:p w14:paraId="3AE690C6" w14:textId="77777777" w:rsidR="001D3982" w:rsidRPr="001D3982" w:rsidRDefault="001D3982" w:rsidP="001D3982">
      <w:pPr>
        <w:spacing w:after="150" w:line="408" w:lineRule="atLeast"/>
        <w:jc w:val="center"/>
        <w:rPr>
          <w:rFonts w:ascii="Poppins" w:eastAsia="Times New Roman" w:hAnsi="Poppins" w:cs="Poppins"/>
          <w:caps/>
          <w:color w:val="000000"/>
          <w:spacing w:val="96"/>
          <w:sz w:val="27"/>
          <w:szCs w:val="27"/>
          <w:lang w:eastAsia="es-ES"/>
        </w:rPr>
      </w:pPr>
      <w:r w:rsidRPr="001D3982">
        <w:rPr>
          <w:rFonts w:ascii="Poppins" w:eastAsia="Times New Roman" w:hAnsi="Poppins" w:cs="Poppins"/>
          <w:caps/>
          <w:color w:val="000000"/>
          <w:spacing w:val="96"/>
          <w:sz w:val="27"/>
          <w:szCs w:val="27"/>
          <w:lang w:eastAsia="es-ES"/>
        </w:rPr>
        <w:t>PUBLICIDAD</w:t>
      </w:r>
    </w:p>
    <w:p w14:paraId="37871AA4" w14:textId="77777777" w:rsidR="001D3982" w:rsidRDefault="001D3982" w:rsidP="001D3982">
      <w:pPr>
        <w:spacing w:line="240" w:lineRule="auto"/>
        <w:rPr>
          <w:rFonts w:ascii="Poppins" w:eastAsia="Times New Roman" w:hAnsi="Poppins" w:cs="Poppins"/>
          <w:color w:val="000000"/>
          <w:sz w:val="27"/>
          <w:szCs w:val="27"/>
          <w:lang w:eastAsia="es-ES"/>
        </w:rPr>
      </w:pPr>
      <w:r w:rsidRPr="001D3982">
        <w:rPr>
          <w:rFonts w:ascii="Poppins" w:eastAsia="Times New Roman" w:hAnsi="Poppins" w:cs="Poppins"/>
          <w:noProof/>
          <w:color w:val="009FDF"/>
          <w:sz w:val="27"/>
          <w:szCs w:val="27"/>
          <w:lang w:eastAsia="es-ES"/>
        </w:rPr>
        <w:drawing>
          <wp:inline distT="0" distB="0" distL="0" distR="0" wp14:anchorId="784E0E32" wp14:editId="3636002A">
            <wp:extent cx="4233333" cy="2381250"/>
            <wp:effectExtent l="0" t="0" r="0" b="0"/>
            <wp:docPr id="14" name="Imagen 14" descr="Por qué las cumbres del clima sí son útiles y por qué negarlo alimenta la 'antipolític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r qué las cumbres del clima sí son útiles y por qué negarlo alimenta la 'antipolítica'">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8665" cy="2384249"/>
                    </a:xfrm>
                    <a:prstGeom prst="rect">
                      <a:avLst/>
                    </a:prstGeom>
                    <a:noFill/>
                    <a:ln>
                      <a:noFill/>
                    </a:ln>
                  </pic:spPr>
                </pic:pic>
              </a:graphicData>
            </a:graphic>
          </wp:inline>
        </w:drawing>
      </w:r>
    </w:p>
    <w:p w14:paraId="3A4CCECD" w14:textId="50B12938" w:rsidR="001D3982" w:rsidRPr="001D3982" w:rsidRDefault="001D3982" w:rsidP="001D3982">
      <w:pPr>
        <w:spacing w:line="240" w:lineRule="auto"/>
        <w:rPr>
          <w:rFonts w:ascii="Poppins" w:eastAsia="Times New Roman" w:hAnsi="Poppins" w:cs="Poppins"/>
          <w:color w:val="000000"/>
          <w:sz w:val="27"/>
          <w:szCs w:val="27"/>
          <w:lang w:eastAsia="es-ES"/>
        </w:rPr>
      </w:pPr>
      <w:hyperlink r:id="rId15" w:history="1">
        <w:r w:rsidRPr="001D3982">
          <w:rPr>
            <w:rFonts w:ascii="Noto Serif SC" w:eastAsia="Times New Roman" w:hAnsi="Noto Serif SC" w:cs="Poppins"/>
            <w:b/>
            <w:bCs/>
            <w:color w:val="000000"/>
            <w:sz w:val="27"/>
            <w:szCs w:val="27"/>
            <w:u w:val="single"/>
            <w:lang w:eastAsia="es-ES"/>
          </w:rPr>
          <w:t>Por qué las cumbres del clima sí son útiles y por qué negarlo alimenta la 'antipolítica'</w:t>
        </w:r>
      </w:hyperlink>
    </w:p>
    <w:p w14:paraId="2FA66444" w14:textId="77777777" w:rsidR="001D3982" w:rsidRPr="001D3982" w:rsidRDefault="001D3982" w:rsidP="001D3982">
      <w:pPr>
        <w:spacing w:after="225" w:line="408" w:lineRule="atLeast"/>
        <w:rPr>
          <w:rFonts w:ascii="Noto Serif SC" w:eastAsia="Times New Roman" w:hAnsi="Noto Serif SC" w:cs="Poppins"/>
          <w:color w:val="111111"/>
          <w:sz w:val="27"/>
          <w:szCs w:val="27"/>
          <w:lang w:eastAsia="es-ES"/>
        </w:rPr>
      </w:pPr>
      <w:r w:rsidRPr="001D3982">
        <w:rPr>
          <w:rFonts w:ascii="Noto Serif SC" w:eastAsia="Times New Roman" w:hAnsi="Noto Serif SC" w:cs="Poppins"/>
          <w:color w:val="111111"/>
          <w:sz w:val="27"/>
          <w:szCs w:val="27"/>
          <w:lang w:eastAsia="es-ES"/>
        </w:rPr>
        <w:t>El autor obvia que las publicaciones científicas sobre cambio climático –así como las informaciones que divulgan las conclusiones en los medios de comunicación– no se basan en opiniones ni en hipótesis sin contrastar, sino que se tratan de síntesis que pasan numerosas y escrupulosas revisiones académicas antes de ser publicadas.</w:t>
      </w:r>
    </w:p>
    <w:p w14:paraId="1D615DB8" w14:textId="77777777" w:rsidR="001D3982" w:rsidRPr="001D3982" w:rsidRDefault="001D3982" w:rsidP="001D3982">
      <w:pPr>
        <w:spacing w:after="225" w:line="408" w:lineRule="atLeast"/>
        <w:rPr>
          <w:rFonts w:ascii="Noto Serif SC" w:eastAsia="Times New Roman" w:hAnsi="Noto Serif SC" w:cs="Poppins"/>
          <w:color w:val="111111"/>
          <w:sz w:val="27"/>
          <w:szCs w:val="27"/>
          <w:lang w:eastAsia="es-ES"/>
        </w:rPr>
      </w:pPr>
      <w:r w:rsidRPr="001D3982">
        <w:rPr>
          <w:rFonts w:ascii="Noto Serif SC" w:eastAsia="Times New Roman" w:hAnsi="Noto Serif SC" w:cs="Poppins"/>
          <w:color w:val="111111"/>
          <w:sz w:val="27"/>
          <w:szCs w:val="27"/>
          <w:lang w:eastAsia="es-ES"/>
        </w:rPr>
        <w:t>En 2021, sin ir más lejos, la revista </w:t>
      </w:r>
      <w:hyperlink r:id="rId16" w:tgtFrame="_blank" w:tooltip="Artículo en Envornmental Research." w:history="1">
        <w:r w:rsidRPr="001D3982">
          <w:rPr>
            <w:rFonts w:ascii="Noto Serif SC" w:eastAsia="Times New Roman" w:hAnsi="Noto Serif SC" w:cs="Poppins"/>
            <w:i/>
            <w:iCs/>
            <w:color w:val="009FDF"/>
            <w:sz w:val="27"/>
            <w:szCs w:val="27"/>
            <w:u w:val="single"/>
            <w:lang w:eastAsia="es-ES"/>
          </w:rPr>
          <w:t>Environmental Research</w:t>
        </w:r>
      </w:hyperlink>
      <w:r w:rsidRPr="001D3982">
        <w:rPr>
          <w:rFonts w:ascii="Noto Serif SC" w:eastAsia="Times New Roman" w:hAnsi="Noto Serif SC" w:cs="Poppins"/>
          <w:color w:val="111111"/>
          <w:sz w:val="27"/>
          <w:szCs w:val="27"/>
          <w:lang w:eastAsia="es-ES"/>
        </w:rPr>
        <w:t> publicó un análisis sobre los 88.125 artículos académicos sobre cambio climático que se habían publicado desde 2012. Entre las conclusiones, destacaba que el 99,9% de las investigaciones coincidían en que la crisis climática y el calentamiento actual del planeta estaban siendo provocados por el ser humano. Este porcentaje tan alto es lo que se denomina consenso científico.</w:t>
      </w:r>
    </w:p>
    <w:p w14:paraId="3B552D97" w14:textId="77777777" w:rsidR="001D3982" w:rsidRPr="001D3982" w:rsidRDefault="001D3982" w:rsidP="001D3982">
      <w:pPr>
        <w:spacing w:after="150" w:line="408" w:lineRule="atLeast"/>
        <w:jc w:val="center"/>
        <w:rPr>
          <w:rFonts w:ascii="Poppins" w:eastAsia="Times New Roman" w:hAnsi="Poppins" w:cs="Poppins"/>
          <w:caps/>
          <w:color w:val="000000"/>
          <w:spacing w:val="96"/>
          <w:sz w:val="27"/>
          <w:szCs w:val="27"/>
          <w:lang w:eastAsia="es-ES"/>
        </w:rPr>
      </w:pPr>
      <w:r w:rsidRPr="001D3982">
        <w:rPr>
          <w:rFonts w:ascii="Poppins" w:eastAsia="Times New Roman" w:hAnsi="Poppins" w:cs="Poppins"/>
          <w:caps/>
          <w:color w:val="000000"/>
          <w:spacing w:val="96"/>
          <w:sz w:val="27"/>
          <w:szCs w:val="27"/>
          <w:lang w:eastAsia="es-ES"/>
        </w:rPr>
        <w:t>PUBLICIDAD</w:t>
      </w:r>
    </w:p>
    <w:p w14:paraId="4DC2DA36" w14:textId="77777777" w:rsidR="001D3982" w:rsidRPr="001D3982" w:rsidRDefault="001D3982" w:rsidP="001D3982">
      <w:pPr>
        <w:spacing w:after="225" w:line="408" w:lineRule="atLeast"/>
        <w:rPr>
          <w:rFonts w:ascii="Noto Serif SC" w:eastAsia="Times New Roman" w:hAnsi="Noto Serif SC" w:cs="Poppins"/>
          <w:color w:val="111111"/>
          <w:sz w:val="27"/>
          <w:szCs w:val="27"/>
          <w:lang w:eastAsia="es-ES"/>
        </w:rPr>
      </w:pPr>
      <w:r w:rsidRPr="001D3982">
        <w:rPr>
          <w:rFonts w:ascii="Noto Serif SC" w:eastAsia="Times New Roman" w:hAnsi="Noto Serif SC" w:cs="Poppins"/>
          <w:color w:val="111111"/>
          <w:sz w:val="27"/>
          <w:szCs w:val="27"/>
          <w:lang w:eastAsia="es-ES"/>
        </w:rPr>
        <w:t>El propio autor reconoce la existencia de este dato, aunque no lo vincula a una publicación académica, sino a informaciones que aparecieron en los medios de comunicación. Después de ello, cita al físico </w:t>
      </w:r>
      <w:r w:rsidRPr="001D3982">
        <w:rPr>
          <w:rFonts w:ascii="Noto Serif SC" w:eastAsia="Times New Roman" w:hAnsi="Noto Serif SC" w:cs="Poppins"/>
          <w:b/>
          <w:bCs/>
          <w:color w:val="111111"/>
          <w:sz w:val="27"/>
          <w:szCs w:val="27"/>
          <w:lang w:eastAsia="es-ES"/>
        </w:rPr>
        <w:t>Frederick Seitz</w:t>
      </w:r>
      <w:r w:rsidRPr="001D3982">
        <w:rPr>
          <w:rFonts w:ascii="Noto Serif SC" w:eastAsia="Times New Roman" w:hAnsi="Noto Serif SC" w:cs="Poppins"/>
          <w:color w:val="111111"/>
          <w:sz w:val="27"/>
          <w:szCs w:val="27"/>
          <w:lang w:eastAsia="es-ES"/>
        </w:rPr>
        <w:t>, que en los años noventa del siglo XX cargó duramente contra las investigaciones del IPCC y que pasó a ser una de las figuras más reconocidas del negacionismo norteamericano, con publicaciones que negaban el agujero de la capa de ozono y sus vínculos con los gases CFCs. </w:t>
      </w:r>
    </w:p>
    <w:p w14:paraId="7CCD04FA" w14:textId="77777777" w:rsidR="001D3982" w:rsidRDefault="001D3982" w:rsidP="001D3982">
      <w:pPr>
        <w:spacing w:line="240" w:lineRule="auto"/>
        <w:rPr>
          <w:rFonts w:ascii="Poppins" w:eastAsia="Times New Roman" w:hAnsi="Poppins" w:cs="Poppins"/>
          <w:color w:val="000000"/>
          <w:sz w:val="27"/>
          <w:szCs w:val="27"/>
          <w:lang w:eastAsia="es-ES"/>
        </w:rPr>
      </w:pPr>
      <w:r w:rsidRPr="001D3982">
        <w:rPr>
          <w:rFonts w:ascii="Poppins" w:eastAsia="Times New Roman" w:hAnsi="Poppins" w:cs="Poppins"/>
          <w:noProof/>
          <w:color w:val="009FDF"/>
          <w:sz w:val="27"/>
          <w:szCs w:val="27"/>
          <w:lang w:eastAsia="es-ES"/>
        </w:rPr>
        <w:drawing>
          <wp:inline distT="0" distB="0" distL="0" distR="0" wp14:anchorId="04D12109" wp14:editId="4D680F69">
            <wp:extent cx="4219575" cy="2373511"/>
            <wp:effectExtent l="0" t="0" r="0" b="8255"/>
            <wp:docPr id="15" name="Imagen 15" descr="La 'fiebre del gas' echa por tierra los objetivos de París: el planeta se calentará 2,7ºC si todo sigue como ahora">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 'fiebre del gas' echa por tierra los objetivos de París: el planeta se calentará 2,7ºC si todo sigue como ahora">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4092" cy="2376052"/>
                    </a:xfrm>
                    <a:prstGeom prst="rect">
                      <a:avLst/>
                    </a:prstGeom>
                    <a:noFill/>
                    <a:ln>
                      <a:noFill/>
                    </a:ln>
                  </pic:spPr>
                </pic:pic>
              </a:graphicData>
            </a:graphic>
          </wp:inline>
        </w:drawing>
      </w:r>
    </w:p>
    <w:p w14:paraId="473A3A16" w14:textId="2C24047D" w:rsidR="001D3982" w:rsidRPr="001D3982" w:rsidRDefault="001D3982" w:rsidP="001D3982">
      <w:pPr>
        <w:spacing w:line="240" w:lineRule="auto"/>
        <w:rPr>
          <w:rFonts w:ascii="Poppins" w:eastAsia="Times New Roman" w:hAnsi="Poppins" w:cs="Poppins"/>
          <w:color w:val="000000"/>
          <w:sz w:val="27"/>
          <w:szCs w:val="27"/>
          <w:lang w:eastAsia="es-ES"/>
        </w:rPr>
      </w:pPr>
      <w:hyperlink r:id="rId19" w:history="1">
        <w:r w:rsidRPr="001D3982">
          <w:rPr>
            <w:rFonts w:ascii="Noto Serif SC" w:eastAsia="Times New Roman" w:hAnsi="Noto Serif SC" w:cs="Poppins"/>
            <w:b/>
            <w:bCs/>
            <w:color w:val="000000"/>
            <w:sz w:val="27"/>
            <w:szCs w:val="27"/>
            <w:u w:val="single"/>
            <w:lang w:eastAsia="es-ES"/>
          </w:rPr>
          <w:t>La 'fiebre del gas' echa por tierra los objetivos de París: el planeta se calentará 2,7ºC si todo sigue como ahora</w:t>
        </w:r>
      </w:hyperlink>
    </w:p>
    <w:p w14:paraId="1FD32A1F" w14:textId="77777777" w:rsidR="001D3982" w:rsidRPr="001D3982" w:rsidRDefault="001D3982" w:rsidP="001D3982">
      <w:pPr>
        <w:spacing w:after="225" w:line="408" w:lineRule="atLeast"/>
        <w:rPr>
          <w:rFonts w:ascii="Noto Serif SC" w:eastAsia="Times New Roman" w:hAnsi="Noto Serif SC" w:cs="Poppins"/>
          <w:color w:val="111111"/>
          <w:sz w:val="27"/>
          <w:szCs w:val="27"/>
          <w:lang w:eastAsia="es-ES"/>
        </w:rPr>
      </w:pPr>
      <w:r w:rsidRPr="001D3982">
        <w:rPr>
          <w:rFonts w:ascii="Noto Serif SC" w:eastAsia="Times New Roman" w:hAnsi="Noto Serif SC" w:cs="Poppins"/>
          <w:color w:val="111111"/>
          <w:sz w:val="27"/>
          <w:szCs w:val="27"/>
          <w:lang w:eastAsia="es-ES"/>
        </w:rPr>
        <w:t>El artículo también cita a </w:t>
      </w:r>
      <w:r w:rsidRPr="001D3982">
        <w:rPr>
          <w:rFonts w:ascii="Noto Serif SC" w:eastAsia="Times New Roman" w:hAnsi="Noto Serif SC" w:cs="Poppins"/>
          <w:b/>
          <w:bCs/>
          <w:color w:val="111111"/>
          <w:sz w:val="27"/>
          <w:szCs w:val="27"/>
          <w:lang w:eastAsia="es-ES"/>
        </w:rPr>
        <w:t>Michael Shellenberger</w:t>
      </w:r>
      <w:r w:rsidRPr="001D3982">
        <w:rPr>
          <w:rFonts w:ascii="Noto Serif SC" w:eastAsia="Times New Roman" w:hAnsi="Noto Serif SC" w:cs="Poppins"/>
          <w:color w:val="111111"/>
          <w:sz w:val="27"/>
          <w:szCs w:val="27"/>
          <w:lang w:eastAsia="es-ES"/>
        </w:rPr>
        <w:t>, un ambientalista estadounidense con posturas </w:t>
      </w:r>
      <w:r w:rsidRPr="001D3982">
        <w:rPr>
          <w:rFonts w:ascii="Noto Serif SC" w:eastAsia="Times New Roman" w:hAnsi="Noto Serif SC" w:cs="Poppins"/>
          <w:i/>
          <w:iCs/>
          <w:color w:val="111111"/>
          <w:sz w:val="27"/>
          <w:szCs w:val="27"/>
          <w:lang w:eastAsia="es-ES"/>
        </w:rPr>
        <w:t>retardistas </w:t>
      </w:r>
      <w:r w:rsidRPr="001D3982">
        <w:rPr>
          <w:rFonts w:ascii="Noto Serif SC" w:eastAsia="Times New Roman" w:hAnsi="Noto Serif SC" w:cs="Poppins"/>
          <w:color w:val="111111"/>
          <w:sz w:val="27"/>
          <w:szCs w:val="27"/>
          <w:lang w:eastAsia="es-ES"/>
        </w:rPr>
        <w:t>que, sin negar la existencia de la crisis climática, rechaza la idea de un cambio del modelo económico y aboga por un tecno-optimismo en el que la innovación tecnológica podría salvar a la humanidad del desastre. La publicación continúa con citas de otros autores con pasados polémicos como </w:t>
      </w:r>
      <w:r w:rsidRPr="001D3982">
        <w:rPr>
          <w:rFonts w:ascii="Noto Serif SC" w:eastAsia="Times New Roman" w:hAnsi="Noto Serif SC" w:cs="Poppins"/>
          <w:b/>
          <w:bCs/>
          <w:color w:val="111111"/>
          <w:sz w:val="27"/>
          <w:szCs w:val="27"/>
          <w:lang w:eastAsia="es-ES"/>
        </w:rPr>
        <w:t>Antonino Zichichi</w:t>
      </w:r>
      <w:r w:rsidRPr="001D3982">
        <w:rPr>
          <w:rFonts w:ascii="Noto Serif SC" w:eastAsia="Times New Roman" w:hAnsi="Noto Serif SC" w:cs="Poppins"/>
          <w:color w:val="111111"/>
          <w:sz w:val="27"/>
          <w:szCs w:val="27"/>
          <w:lang w:eastAsia="es-ES"/>
        </w:rPr>
        <w:t> o </w:t>
      </w:r>
      <w:r w:rsidRPr="001D3982">
        <w:rPr>
          <w:rFonts w:ascii="Noto Serif SC" w:eastAsia="Times New Roman" w:hAnsi="Noto Serif SC" w:cs="Poppins"/>
          <w:b/>
          <w:bCs/>
          <w:color w:val="111111"/>
          <w:sz w:val="27"/>
          <w:szCs w:val="27"/>
          <w:lang w:eastAsia="es-ES"/>
        </w:rPr>
        <w:t>Steven Koonin</w:t>
      </w:r>
      <w:r w:rsidRPr="001D3982">
        <w:rPr>
          <w:rFonts w:ascii="Noto Serif SC" w:eastAsia="Times New Roman" w:hAnsi="Noto Serif SC" w:cs="Poppins"/>
          <w:color w:val="111111"/>
          <w:sz w:val="27"/>
          <w:szCs w:val="27"/>
          <w:lang w:eastAsia="es-ES"/>
        </w:rPr>
        <w:t>, de quien no menciona sus vínculos con la petrolera BP.</w:t>
      </w:r>
    </w:p>
    <w:p w14:paraId="3F78F21F" w14:textId="77777777" w:rsidR="001D3982" w:rsidRPr="001D3982" w:rsidRDefault="001D3982" w:rsidP="001D3982">
      <w:pPr>
        <w:spacing w:after="225" w:line="408" w:lineRule="atLeast"/>
        <w:rPr>
          <w:rFonts w:ascii="Noto Serif SC" w:eastAsia="Times New Roman" w:hAnsi="Noto Serif SC" w:cs="Poppins"/>
          <w:color w:val="111111"/>
          <w:sz w:val="27"/>
          <w:szCs w:val="27"/>
          <w:lang w:eastAsia="es-ES"/>
        </w:rPr>
      </w:pPr>
      <w:r w:rsidRPr="001D3982">
        <w:rPr>
          <w:rFonts w:ascii="Noto Serif SC" w:eastAsia="Times New Roman" w:hAnsi="Noto Serif SC" w:cs="Poppins"/>
          <w:color w:val="111111"/>
          <w:sz w:val="27"/>
          <w:szCs w:val="27"/>
          <w:lang w:eastAsia="es-ES"/>
        </w:rPr>
        <w:t>La publicación ha causado un revuelo importante en las redes sociales, con numerosas peticiones de rectificación por parte de académicos y divulgadores científicos. Desde el Colegio de Geólogos explican a Público que la revista publica artículos que "incluyen todas las opiniones" y aseguran que se abren a recoger otro texto que "rebata las opiniones de este autor". No obstante, la institución recalca que no se pronunciará sobre los contenidos. </w:t>
      </w:r>
    </w:p>
    <w:p w14:paraId="13D2F90A" w14:textId="77777777" w:rsidR="00353D28" w:rsidRDefault="00353D28"/>
    <w:sectPr w:rsidR="00353D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erif SC">
    <w:altName w:val="Cambria"/>
    <w:panose1 w:val="00000000000000000000"/>
    <w:charset w:val="00"/>
    <w:family w:val="roman"/>
    <w:notTrueType/>
    <w:pitch w:val="default"/>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982"/>
    <w:rsid w:val="001D3982"/>
    <w:rsid w:val="00353D28"/>
    <w:rsid w:val="00476839"/>
    <w:rsid w:val="00B70A9E"/>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AEDC9"/>
  <w15:chartTrackingRefBased/>
  <w15:docId w15:val="{AA8D7230-F2BF-44C3-93D4-D0573A681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D39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005685">
      <w:bodyDiv w:val="1"/>
      <w:marLeft w:val="0"/>
      <w:marRight w:val="0"/>
      <w:marTop w:val="0"/>
      <w:marBottom w:val="0"/>
      <w:divBdr>
        <w:top w:val="none" w:sz="0" w:space="0" w:color="auto"/>
        <w:left w:val="none" w:sz="0" w:space="0" w:color="auto"/>
        <w:bottom w:val="none" w:sz="0" w:space="0" w:color="auto"/>
        <w:right w:val="none" w:sz="0" w:space="0" w:color="auto"/>
      </w:divBdr>
      <w:divsChild>
        <w:div w:id="582691070">
          <w:marLeft w:val="0"/>
          <w:marRight w:val="0"/>
          <w:marTop w:val="0"/>
          <w:marBottom w:val="225"/>
          <w:divBdr>
            <w:top w:val="none" w:sz="0" w:space="0" w:color="auto"/>
            <w:left w:val="none" w:sz="0" w:space="0" w:color="auto"/>
            <w:bottom w:val="none" w:sz="0" w:space="0" w:color="auto"/>
            <w:right w:val="none" w:sz="0" w:space="0" w:color="auto"/>
          </w:divBdr>
        </w:div>
        <w:div w:id="1010180796">
          <w:marLeft w:val="0"/>
          <w:marRight w:val="0"/>
          <w:marTop w:val="450"/>
          <w:marBottom w:val="0"/>
          <w:divBdr>
            <w:top w:val="none" w:sz="0" w:space="0" w:color="auto"/>
            <w:left w:val="none" w:sz="0" w:space="0" w:color="auto"/>
            <w:bottom w:val="none" w:sz="0" w:space="0" w:color="auto"/>
            <w:right w:val="none" w:sz="0" w:space="0" w:color="auto"/>
          </w:divBdr>
        </w:div>
        <w:div w:id="222181276">
          <w:marLeft w:val="-225"/>
          <w:marRight w:val="-225"/>
          <w:marTop w:val="240"/>
          <w:marBottom w:val="150"/>
          <w:divBdr>
            <w:top w:val="none" w:sz="0" w:space="0" w:color="auto"/>
            <w:left w:val="none" w:sz="0" w:space="0" w:color="auto"/>
            <w:bottom w:val="none" w:sz="0" w:space="0" w:color="auto"/>
            <w:right w:val="none" w:sz="0" w:space="0" w:color="auto"/>
          </w:divBdr>
        </w:div>
        <w:div w:id="2029987664">
          <w:marLeft w:val="0"/>
          <w:marRight w:val="0"/>
          <w:marTop w:val="0"/>
          <w:marBottom w:val="0"/>
          <w:divBdr>
            <w:top w:val="none" w:sz="0" w:space="0" w:color="auto"/>
            <w:left w:val="none" w:sz="0" w:space="0" w:color="auto"/>
            <w:bottom w:val="none" w:sz="0" w:space="0" w:color="auto"/>
            <w:right w:val="none" w:sz="0" w:space="0" w:color="auto"/>
          </w:divBdr>
        </w:div>
        <w:div w:id="1624073638">
          <w:marLeft w:val="0"/>
          <w:marRight w:val="0"/>
          <w:marTop w:val="0"/>
          <w:marBottom w:val="0"/>
          <w:divBdr>
            <w:top w:val="none" w:sz="0" w:space="0" w:color="auto"/>
            <w:left w:val="none" w:sz="0" w:space="0" w:color="auto"/>
            <w:bottom w:val="none" w:sz="0" w:space="0" w:color="auto"/>
            <w:right w:val="none" w:sz="0" w:space="0" w:color="auto"/>
          </w:divBdr>
          <w:divsChild>
            <w:div w:id="1084765446">
              <w:marLeft w:val="-225"/>
              <w:marRight w:val="-225"/>
              <w:marTop w:val="480"/>
              <w:marBottom w:val="150"/>
              <w:divBdr>
                <w:top w:val="none" w:sz="0" w:space="0" w:color="auto"/>
                <w:left w:val="none" w:sz="0" w:space="0" w:color="auto"/>
                <w:bottom w:val="none" w:sz="0" w:space="0" w:color="auto"/>
                <w:right w:val="none" w:sz="0" w:space="0" w:color="auto"/>
              </w:divBdr>
            </w:div>
            <w:div w:id="784230482">
              <w:marLeft w:val="0"/>
              <w:marRight w:val="0"/>
              <w:marTop w:val="225"/>
              <w:marBottom w:val="375"/>
              <w:divBdr>
                <w:top w:val="single" w:sz="6" w:space="8" w:color="999999"/>
                <w:left w:val="single" w:sz="6" w:space="8" w:color="999999"/>
                <w:bottom w:val="single" w:sz="6" w:space="8" w:color="999999"/>
                <w:right w:val="single" w:sz="6" w:space="8" w:color="999999"/>
              </w:divBdr>
            </w:div>
            <w:div w:id="908491681">
              <w:marLeft w:val="-225"/>
              <w:marRight w:val="-225"/>
              <w:marTop w:val="480"/>
              <w:marBottom w:val="150"/>
              <w:divBdr>
                <w:top w:val="none" w:sz="0" w:space="0" w:color="auto"/>
                <w:left w:val="none" w:sz="0" w:space="0" w:color="auto"/>
                <w:bottom w:val="none" w:sz="0" w:space="0" w:color="auto"/>
                <w:right w:val="none" w:sz="0" w:space="0" w:color="auto"/>
              </w:divBdr>
            </w:div>
            <w:div w:id="1205356">
              <w:marLeft w:val="-225"/>
              <w:marRight w:val="-225"/>
              <w:marTop w:val="480"/>
              <w:marBottom w:val="150"/>
              <w:divBdr>
                <w:top w:val="none" w:sz="0" w:space="0" w:color="auto"/>
                <w:left w:val="none" w:sz="0" w:space="0" w:color="auto"/>
                <w:bottom w:val="none" w:sz="0" w:space="0" w:color="auto"/>
                <w:right w:val="none" w:sz="0" w:space="0" w:color="auto"/>
              </w:divBdr>
            </w:div>
            <w:div w:id="765342689">
              <w:marLeft w:val="0"/>
              <w:marRight w:val="0"/>
              <w:marTop w:val="225"/>
              <w:marBottom w:val="375"/>
              <w:divBdr>
                <w:top w:val="single" w:sz="6" w:space="8" w:color="999999"/>
                <w:left w:val="single" w:sz="6" w:space="8" w:color="999999"/>
                <w:bottom w:val="single" w:sz="6" w:space="8" w:color="999999"/>
                <w:right w:val="single" w:sz="6" w:space="8" w:color="999999"/>
              </w:divBdr>
            </w:div>
            <w:div w:id="1461536675">
              <w:marLeft w:val="-225"/>
              <w:marRight w:val="-225"/>
              <w:marTop w:val="480"/>
              <w:marBottom w:val="150"/>
              <w:divBdr>
                <w:top w:val="none" w:sz="0" w:space="0" w:color="auto"/>
                <w:left w:val="none" w:sz="0" w:space="0" w:color="auto"/>
                <w:bottom w:val="none" w:sz="0" w:space="0" w:color="auto"/>
                <w:right w:val="none" w:sz="0" w:space="0" w:color="auto"/>
              </w:divBdr>
            </w:div>
            <w:div w:id="1382709019">
              <w:marLeft w:val="0"/>
              <w:marRight w:val="0"/>
              <w:marTop w:val="225"/>
              <w:marBottom w:val="375"/>
              <w:divBdr>
                <w:top w:val="single" w:sz="6" w:space="8" w:color="999999"/>
                <w:left w:val="single" w:sz="6" w:space="8" w:color="999999"/>
                <w:bottom w:val="single" w:sz="6" w:space="8" w:color="999999"/>
                <w:right w:val="single" w:sz="6" w:space="8" w:color="999999"/>
              </w:divBdr>
            </w:div>
            <w:div w:id="1716195438">
              <w:marLeft w:val="-225"/>
              <w:marRight w:val="-225"/>
              <w:marTop w:val="48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blico.es/sociedad/planeta-queda-registros-co2-volcan-mauna-loa-culpa.html" TargetMode="External"/><Relationship Id="rId13" Type="http://schemas.openxmlformats.org/officeDocument/2006/relationships/hyperlink" Target="https://www.publico.es/sociedad/cumbres-clima-son-utiles-negarlo-alimenta-antipolitica.html" TargetMode="External"/><Relationship Id="rId18" Type="http://schemas.openxmlformats.org/officeDocument/2006/relationships/image" Target="media/image4.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icog.es/TyT/index.php/2022/11/la-geologia-versus-el-dogma-climatico-1a-parte/" TargetMode="External"/><Relationship Id="rId12" Type="http://schemas.openxmlformats.org/officeDocument/2006/relationships/hyperlink" Target="https://www.ipcc.ch/sr15/" TargetMode="External"/><Relationship Id="rId17" Type="http://schemas.openxmlformats.org/officeDocument/2006/relationships/hyperlink" Target="https://www.publico.es/sociedad/fiebre-gas-echa-tierra-objetivos-paris-planeta-calentara-2-7-c-sigue.html" TargetMode="External"/><Relationship Id="rId2" Type="http://schemas.openxmlformats.org/officeDocument/2006/relationships/settings" Target="settings.xml"/><Relationship Id="rId16" Type="http://schemas.openxmlformats.org/officeDocument/2006/relationships/hyperlink" Target="https://iopscience.iop.org/article/10.1088/1748-9326/ac2966"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publico.es/tag/crisis-climatica" TargetMode="External"/><Relationship Id="rId11" Type="http://schemas.openxmlformats.org/officeDocument/2006/relationships/hyperlink" Target="https://www.lamarea.com/2019/06/05/vox-y-su-argumentario-contra-el-cambio-climatico-no-vamos-a-malgastar-mas-dinero-en-esta-estafa/" TargetMode="External"/><Relationship Id="rId5" Type="http://schemas.openxmlformats.org/officeDocument/2006/relationships/image" Target="media/image1.jpeg"/><Relationship Id="rId15" Type="http://schemas.openxmlformats.org/officeDocument/2006/relationships/hyperlink" Target="https://www.publico.es/sociedad/cumbres-clima-son-utiles-negarlo-alimenta-antipolitica.html" TargetMode="External"/><Relationship Id="rId10" Type="http://schemas.openxmlformats.org/officeDocument/2006/relationships/hyperlink" Target="https://www.publico.es/sociedad/planeta-queda-registros-co2-volcan-mauna-loa-culpa.html" TargetMode="External"/><Relationship Id="rId19" Type="http://schemas.openxmlformats.org/officeDocument/2006/relationships/hyperlink" Target="https://www.publico.es/sociedad/fiebre-gas-echa-tierra-objetivos-paris-planeta-calentara-2-7-c-sigue.html" TargetMode="External"/><Relationship Id="rId4" Type="http://schemas.openxmlformats.org/officeDocument/2006/relationships/hyperlink" Target="https://www.publico.es/sociedad/colegio-geologos-publica-articulo-negacionista-carga-dogma-climatico.html/amp" TargetMode="Externa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1092</Words>
  <Characters>6012</Characters>
  <Application>Microsoft Office Word</Application>
  <DocSecurity>0</DocSecurity>
  <Lines>50</Lines>
  <Paragraphs>14</Paragraphs>
  <ScaleCrop>false</ScaleCrop>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l</dc:creator>
  <cp:keywords/>
  <dc:description/>
  <cp:lastModifiedBy>Víctor l</cp:lastModifiedBy>
  <cp:revision>1</cp:revision>
  <dcterms:created xsi:type="dcterms:W3CDTF">2022-12-08T12:41:00Z</dcterms:created>
  <dcterms:modified xsi:type="dcterms:W3CDTF">2022-12-08T12:44:00Z</dcterms:modified>
</cp:coreProperties>
</file>